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687"/>
        <w:gridCol w:w="2662"/>
      </w:tblGrid>
      <w:tr w:rsidR="00F4252C" w:rsidRPr="000A7A2D" w14:paraId="7A70D935" w14:textId="77777777" w:rsidTr="00F4252C">
        <w:tc>
          <w:tcPr>
            <w:tcW w:w="6687" w:type="dxa"/>
            <w:shd w:val="clear" w:color="auto" w:fill="auto"/>
          </w:tcPr>
          <w:p w14:paraId="3A5B40C7" w14:textId="77777777" w:rsidR="00F4252C" w:rsidRPr="000A7A2D" w:rsidRDefault="00F4252C" w:rsidP="000A7A2D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B308C"/>
              </w:rPr>
            </w:pPr>
            <w:r w:rsidRPr="000A7A2D">
              <w:rPr>
                <w:rFonts w:ascii="Times New Roman" w:eastAsia="Times New Roman" w:hAnsi="Times New Roman" w:cs="Times New Roman"/>
                <w:b/>
                <w:color w:val="0B308C"/>
              </w:rPr>
              <w:t>ПРЕСС-РЕЛИЗ</w:t>
            </w:r>
          </w:p>
          <w:p w14:paraId="59D0EB02" w14:textId="6774AB0B" w:rsidR="00F4252C" w:rsidRPr="000A7A2D" w:rsidRDefault="00DE68D0" w:rsidP="000A7A2D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B308C"/>
              </w:rPr>
              <w:t>10</w:t>
            </w:r>
            <w:r w:rsidR="00F4252C" w:rsidRPr="000A7A2D">
              <w:rPr>
                <w:rFonts w:ascii="Times New Roman" w:eastAsia="Times New Roman" w:hAnsi="Times New Roman" w:cs="Times New Roman"/>
                <w:color w:val="0B308C"/>
              </w:rPr>
              <w:t xml:space="preserve"> </w:t>
            </w:r>
            <w:r w:rsidR="00582BAD" w:rsidRPr="000A7A2D">
              <w:rPr>
                <w:rFonts w:ascii="Times New Roman" w:eastAsia="Times New Roman" w:hAnsi="Times New Roman" w:cs="Times New Roman"/>
                <w:color w:val="0B308C"/>
              </w:rPr>
              <w:t>июня</w:t>
            </w:r>
            <w:r w:rsidR="00F4252C" w:rsidRPr="000A7A2D">
              <w:rPr>
                <w:rFonts w:ascii="Times New Roman" w:eastAsia="Times New Roman" w:hAnsi="Times New Roman" w:cs="Times New Roman"/>
                <w:color w:val="0B308C"/>
              </w:rPr>
              <w:t xml:space="preserve"> 2021</w:t>
            </w:r>
          </w:p>
        </w:tc>
        <w:tc>
          <w:tcPr>
            <w:tcW w:w="2662" w:type="dxa"/>
            <w:shd w:val="clear" w:color="auto" w:fill="auto"/>
          </w:tcPr>
          <w:p w14:paraId="3ED487F7" w14:textId="77777777" w:rsidR="00F4252C" w:rsidRPr="000A7A2D" w:rsidRDefault="00F4252C" w:rsidP="000A7A2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0A7A2D">
              <w:rPr>
                <w:rFonts w:ascii="Times New Roman" w:eastAsia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4BAF3D9" wp14:editId="03298EEF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9525</wp:posOffset>
                  </wp:positionV>
                  <wp:extent cx="1257300" cy="610235"/>
                  <wp:effectExtent l="0" t="0" r="0" b="0"/>
                  <wp:wrapThrough wrapText="bothSides">
                    <wp:wrapPolygon edited="0">
                      <wp:start x="0" y="0"/>
                      <wp:lineTo x="0" y="21128"/>
                      <wp:lineTo x="21382" y="21128"/>
                      <wp:lineTo x="21382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252C" w:rsidRPr="000A7A2D" w14:paraId="64BA25FE" w14:textId="77777777" w:rsidTr="00F4252C">
        <w:trPr>
          <w:trHeight w:val="301"/>
        </w:trPr>
        <w:tc>
          <w:tcPr>
            <w:tcW w:w="9349" w:type="dxa"/>
            <w:gridSpan w:val="2"/>
            <w:shd w:val="clear" w:color="auto" w:fill="auto"/>
          </w:tcPr>
          <w:p w14:paraId="5649B539" w14:textId="77777777" w:rsidR="00F4252C" w:rsidRPr="000A7A2D" w:rsidRDefault="00F4252C" w:rsidP="000A7A2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0A7A2D">
              <w:rPr>
                <w:rFonts w:ascii="Times New Roman" w:eastAsia="Times New Roman" w:hAnsi="Times New Roman" w:cs="Times New Roman"/>
                <w:b/>
                <w:noProof/>
                <w:color w:val="0B308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5D2067" wp14:editId="4BB1131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06595" cy="0"/>
                      <wp:effectExtent l="12700" t="1270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3F4950C3" id="Прямая соединительная линия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0" to="349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" strokecolor="#0b308c" strokeweight="2pt">
                      <v:shadow opacity="24903f" origin=",.5" offset="0,.55556mm"/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57FC2D79" w14:textId="08457A74" w:rsidR="00A96265" w:rsidRDefault="00A96265" w:rsidP="000A7A2D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6265">
        <w:rPr>
          <w:rFonts w:ascii="Times New Roman" w:hAnsi="Times New Roman" w:cs="Times New Roman"/>
          <w:b/>
          <w:bCs/>
          <w:sz w:val="28"/>
          <w:szCs w:val="28"/>
        </w:rPr>
        <w:t xml:space="preserve">Почтовые отделения </w:t>
      </w:r>
      <w:r w:rsidR="004943BF">
        <w:rPr>
          <w:rFonts w:ascii="Times New Roman" w:hAnsi="Times New Roman" w:cs="Times New Roman"/>
          <w:b/>
          <w:bCs/>
          <w:sz w:val="28"/>
          <w:szCs w:val="28"/>
        </w:rPr>
        <w:t xml:space="preserve">Приангарья </w:t>
      </w:r>
      <w:r w:rsidRPr="00A96265">
        <w:rPr>
          <w:rFonts w:ascii="Times New Roman" w:hAnsi="Times New Roman" w:cs="Times New Roman"/>
          <w:b/>
          <w:bCs/>
          <w:sz w:val="28"/>
          <w:szCs w:val="28"/>
        </w:rPr>
        <w:t>изменят график работы в связи с Днем России</w:t>
      </w:r>
    </w:p>
    <w:p w14:paraId="041366DA" w14:textId="662CF009" w:rsidR="00A96265" w:rsidRPr="00A96265" w:rsidRDefault="00A96265" w:rsidP="00A96265">
      <w:p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A96265">
        <w:rPr>
          <w:rFonts w:ascii="Times New Roman" w:hAnsi="Times New Roman" w:cs="Times New Roman"/>
          <w:bCs/>
        </w:rPr>
        <w:t>12 июня станет выходным днем для всех почтовых</w:t>
      </w:r>
      <w:r w:rsidR="004943BF">
        <w:rPr>
          <w:rFonts w:ascii="Times New Roman" w:hAnsi="Times New Roman" w:cs="Times New Roman"/>
          <w:bCs/>
        </w:rPr>
        <w:t xml:space="preserve"> отделений.</w:t>
      </w:r>
      <w:r w:rsidRPr="00A96265">
        <w:rPr>
          <w:rFonts w:ascii="Times New Roman" w:hAnsi="Times New Roman" w:cs="Times New Roman"/>
          <w:bCs/>
        </w:rPr>
        <w:t xml:space="preserve"> </w:t>
      </w:r>
    </w:p>
    <w:p w14:paraId="775D628D" w14:textId="348CE194" w:rsidR="00A96265" w:rsidRPr="00A96265" w:rsidRDefault="00A96265" w:rsidP="00A96265">
      <w:p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A96265">
        <w:rPr>
          <w:rFonts w:ascii="Times New Roman" w:hAnsi="Times New Roman" w:cs="Times New Roman"/>
          <w:bCs/>
        </w:rPr>
        <w:t>В предпраздничный день почтовые отделения всех классов закроются на час раньше</w:t>
      </w:r>
      <w:r w:rsidR="004943BF">
        <w:rPr>
          <w:rFonts w:ascii="Times New Roman" w:hAnsi="Times New Roman" w:cs="Times New Roman"/>
          <w:bCs/>
        </w:rPr>
        <w:t>.</w:t>
      </w:r>
    </w:p>
    <w:p w14:paraId="549AC59D" w14:textId="391EA374" w:rsidR="00A96265" w:rsidRPr="00A96265" w:rsidRDefault="004943BF" w:rsidP="00A96265">
      <w:pPr>
        <w:spacing w:after="20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13 июня</w:t>
      </w:r>
      <w:r w:rsidR="00A96265" w:rsidRPr="00A96265">
        <w:rPr>
          <w:rFonts w:ascii="Times New Roman" w:hAnsi="Times New Roman" w:cs="Times New Roman"/>
          <w:bCs/>
        </w:rPr>
        <w:t xml:space="preserve"> отделения </w:t>
      </w:r>
      <w:r>
        <w:rPr>
          <w:rFonts w:ascii="Times New Roman" w:hAnsi="Times New Roman" w:cs="Times New Roman"/>
          <w:bCs/>
        </w:rPr>
        <w:t xml:space="preserve">связи </w:t>
      </w:r>
      <w:r w:rsidR="00A96265" w:rsidRPr="00A96265">
        <w:rPr>
          <w:rFonts w:ascii="Times New Roman" w:hAnsi="Times New Roman" w:cs="Times New Roman"/>
          <w:bCs/>
        </w:rPr>
        <w:t>будут работать по обычному графику.</w:t>
      </w:r>
    </w:p>
    <w:p w14:paraId="509C04C1" w14:textId="77777777" w:rsidR="00A96265" w:rsidRPr="00A96265" w:rsidRDefault="00A96265" w:rsidP="00A96265">
      <w:p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A96265">
        <w:rPr>
          <w:rFonts w:ascii="Times New Roman" w:hAnsi="Times New Roman" w:cs="Times New Roman"/>
          <w:bCs/>
        </w:rPr>
        <w:t>14 июня отделения Почты России будут принимать клиентов в соответствии с графиком субботы.</w:t>
      </w:r>
    </w:p>
    <w:p w14:paraId="0C6F4F76" w14:textId="77777777" w:rsidR="00A96265" w:rsidRPr="00A96265" w:rsidRDefault="00A96265" w:rsidP="00A96265">
      <w:p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A96265">
        <w:rPr>
          <w:rFonts w:ascii="Times New Roman" w:hAnsi="Times New Roman" w:cs="Times New Roman"/>
          <w:bCs/>
        </w:rPr>
        <w:t xml:space="preserve">Для бесперебойной и своевременной доставки пенсий и пособий, почтовых отправлений и периодических изданий для некоторых сельских почтовых отделений может быть установлен другой режим работы. Пенсии и пособия в праздничные дни будут доставляться по расписанию, согласованному с региональными отделениями Пенсионного фонда РФ. </w:t>
      </w:r>
    </w:p>
    <w:p w14:paraId="58EEE812" w14:textId="67716E1B" w:rsidR="00A96265" w:rsidRPr="00A96265" w:rsidRDefault="00A96265" w:rsidP="00A96265">
      <w:p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A96265">
        <w:rPr>
          <w:rFonts w:ascii="Times New Roman" w:hAnsi="Times New Roman" w:cs="Times New Roman"/>
          <w:bCs/>
        </w:rPr>
        <w:t xml:space="preserve">Уточнить график работы или найти на карте ближайшее открытое почтовое отделение можно в мобильном приложении Почты России и на сайте компании. Установить приложение можно, перейдя по ссылке с мобильного устройства: </w:t>
      </w:r>
      <w:hyperlink r:id="rId8" w:history="1">
        <w:r w:rsidRPr="004C6E31">
          <w:rPr>
            <w:rStyle w:val="a3"/>
            <w:rFonts w:ascii="Times New Roman" w:hAnsi="Times New Roman" w:cs="Times New Roman"/>
            <w:bCs/>
          </w:rPr>
          <w:t>https://pochta.onelink.me/YTri/2ff3e10</w:t>
        </w:r>
      </w:hyperlink>
      <w:r w:rsidR="004943BF">
        <w:rPr>
          <w:rStyle w:val="a3"/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bookmarkStart w:id="0" w:name="_GoBack"/>
      <w:bookmarkEnd w:id="0"/>
    </w:p>
    <w:p w14:paraId="0BC2CBDD" w14:textId="74E587FD" w:rsidR="00AE09C7" w:rsidRDefault="00A96265" w:rsidP="00A96265">
      <w:pPr>
        <w:spacing w:after="200" w:line="276" w:lineRule="auto"/>
        <w:jc w:val="both"/>
        <w:rPr>
          <w:rFonts w:ascii="Times New Roman" w:hAnsi="Times New Roman" w:cs="Times New Roman"/>
          <w:bCs/>
          <w:i/>
        </w:rPr>
      </w:pPr>
      <w:r w:rsidRPr="00A96265">
        <w:rPr>
          <w:rFonts w:ascii="Times New Roman" w:hAnsi="Times New Roman" w:cs="Times New Roman"/>
          <w:bCs/>
          <w:i/>
        </w:rPr>
        <w:t xml:space="preserve">Отделения Почты сегодня – это многопрофильные и многофункциональные офисы, где за один визит можно закрыть максимальное количество вопросов: получить корреспонденцию, купить продукты, оплатить ЖКХ, сделать денежный перевод или приобрести страховку. Для удобства посетителей в отделениях внедрен сервис электронной очереди. Чтобы сэкономить время, клиенты могут воспользоваться сервисами предоплаченных и </w:t>
      </w:r>
      <w:proofErr w:type="spellStart"/>
      <w:r w:rsidRPr="00A96265">
        <w:rPr>
          <w:rFonts w:ascii="Times New Roman" w:hAnsi="Times New Roman" w:cs="Times New Roman"/>
          <w:bCs/>
          <w:i/>
        </w:rPr>
        <w:t>предзаполненных</w:t>
      </w:r>
      <w:proofErr w:type="spellEnd"/>
      <w:r w:rsidRPr="00A96265">
        <w:rPr>
          <w:rFonts w:ascii="Times New Roman" w:hAnsi="Times New Roman" w:cs="Times New Roman"/>
          <w:bCs/>
          <w:i/>
        </w:rPr>
        <w:t xml:space="preserve"> отправлений, предварительной записью в отделение или простой электронной подписью. В 2021 г. число клиентов-пользователей простой электронной подписи достигло 40 млн.</w:t>
      </w:r>
    </w:p>
    <w:p w14:paraId="249EF557" w14:textId="0136CAF9" w:rsidR="004943BF" w:rsidRDefault="004943BF" w:rsidP="00A96265">
      <w:pPr>
        <w:spacing w:after="200" w:line="276" w:lineRule="auto"/>
        <w:jc w:val="both"/>
        <w:rPr>
          <w:rFonts w:ascii="Times New Roman" w:hAnsi="Times New Roman" w:cs="Times New Roman"/>
          <w:bCs/>
          <w:i/>
        </w:rPr>
      </w:pPr>
    </w:p>
    <w:p w14:paraId="2E15670F" w14:textId="77777777" w:rsidR="004943BF" w:rsidRPr="00A96265" w:rsidRDefault="004943BF" w:rsidP="00A96265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2"/>
        </w:rPr>
      </w:pPr>
    </w:p>
    <w:p w14:paraId="012B0AD3" w14:textId="50F578C8" w:rsidR="00F72043" w:rsidRPr="004943BF" w:rsidRDefault="004943BF" w:rsidP="000A7A2D">
      <w:pPr>
        <w:spacing w:before="120" w:after="120" w:line="276" w:lineRule="auto"/>
        <w:rPr>
          <w:rFonts w:ascii="Times New Roman" w:hAnsi="Times New Roman" w:cs="Times New Roman"/>
          <w:i/>
        </w:rPr>
      </w:pPr>
      <w:r w:rsidRPr="004943BF">
        <w:rPr>
          <w:rFonts w:ascii="Times New Roman" w:hAnsi="Times New Roman" w:cs="Times New Roman"/>
          <w:b/>
          <w:i/>
        </w:rPr>
        <w:t>Информационная справка:</w:t>
      </w:r>
      <w:r w:rsidRPr="004943BF">
        <w:rPr>
          <w:rFonts w:ascii="Times New Roman" w:hAnsi="Times New Roman" w:cs="Times New Roman"/>
        </w:rPr>
        <w:t xml:space="preserve"> </w:t>
      </w:r>
      <w:r w:rsidRPr="004943BF">
        <w:rPr>
          <w:rFonts w:ascii="Times New Roman" w:hAnsi="Times New Roman" w:cs="Times New Roman"/>
          <w:i/>
        </w:rPr>
        <w:t>УФПС Иркутской области включает 16 почтамтов, 733 стационарных отделен</w:t>
      </w:r>
      <w:r>
        <w:rPr>
          <w:rFonts w:ascii="Times New Roman" w:hAnsi="Times New Roman" w:cs="Times New Roman"/>
          <w:i/>
        </w:rPr>
        <w:t>ия и 13 передвижных. Компания</w:t>
      </w:r>
      <w:r w:rsidRPr="004943BF">
        <w:rPr>
          <w:rFonts w:ascii="Times New Roman" w:hAnsi="Times New Roman" w:cs="Times New Roman"/>
          <w:i/>
        </w:rPr>
        <w:t xml:space="preserve"> объединяет более 5000 сотрудников, в том числе около 2000 почтальонов. Доставку почты осуществляют около трехсот автомобилей, общая протяженность почтовых маршрутов филиала составляет 56390 км.</w:t>
      </w:r>
    </w:p>
    <w:p w14:paraId="2256BEE1" w14:textId="78E49CC2" w:rsidR="004943BF" w:rsidRPr="000A7A2D" w:rsidRDefault="00D7000C" w:rsidP="000A7A2D">
      <w:pPr>
        <w:spacing w:before="120"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4943BF" w:rsidRPr="000A7A2D">
      <w:headerReference w:type="default" r:id="rId9"/>
      <w:footerReference w:type="default" r:id="rId10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303F2" w14:textId="77777777" w:rsidR="001E0F96" w:rsidRDefault="001E0F96">
      <w:r>
        <w:separator/>
      </w:r>
    </w:p>
  </w:endnote>
  <w:endnote w:type="continuationSeparator" w:id="0">
    <w:p w14:paraId="60C3F70E" w14:textId="77777777" w:rsidR="001E0F96" w:rsidRDefault="001E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171A6" w14:textId="77777777" w:rsidR="00BB26D3" w:rsidRDefault="00BB26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F3427" w14:textId="77777777" w:rsidR="001E0F96" w:rsidRDefault="001E0F96">
      <w:r>
        <w:separator/>
      </w:r>
    </w:p>
  </w:footnote>
  <w:footnote w:type="continuationSeparator" w:id="0">
    <w:p w14:paraId="4CA78264" w14:textId="77777777" w:rsidR="001E0F96" w:rsidRDefault="001E0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F636" w14:textId="77777777" w:rsidR="00BB26D3" w:rsidRDefault="00BB26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D3"/>
    <w:rsid w:val="000151EE"/>
    <w:rsid w:val="00036A42"/>
    <w:rsid w:val="00071AB2"/>
    <w:rsid w:val="00082B5C"/>
    <w:rsid w:val="000A0B95"/>
    <w:rsid w:val="000A4E4C"/>
    <w:rsid w:val="000A7A2D"/>
    <w:rsid w:val="000F6CFF"/>
    <w:rsid w:val="001109C2"/>
    <w:rsid w:val="001458CD"/>
    <w:rsid w:val="00151227"/>
    <w:rsid w:val="001945B0"/>
    <w:rsid w:val="001A67FD"/>
    <w:rsid w:val="001E0F96"/>
    <w:rsid w:val="00274863"/>
    <w:rsid w:val="00286B53"/>
    <w:rsid w:val="00296E6C"/>
    <w:rsid w:val="002C2019"/>
    <w:rsid w:val="002D46BC"/>
    <w:rsid w:val="0032440A"/>
    <w:rsid w:val="0035067E"/>
    <w:rsid w:val="00355DFD"/>
    <w:rsid w:val="003B003F"/>
    <w:rsid w:val="003B3BAD"/>
    <w:rsid w:val="003C02A6"/>
    <w:rsid w:val="003C6465"/>
    <w:rsid w:val="00410A1D"/>
    <w:rsid w:val="004943BF"/>
    <w:rsid w:val="00506502"/>
    <w:rsid w:val="0053046A"/>
    <w:rsid w:val="00531782"/>
    <w:rsid w:val="00543592"/>
    <w:rsid w:val="00582BAD"/>
    <w:rsid w:val="006518AF"/>
    <w:rsid w:val="00651DEA"/>
    <w:rsid w:val="00670C3B"/>
    <w:rsid w:val="006770B7"/>
    <w:rsid w:val="006E2880"/>
    <w:rsid w:val="006F0BE2"/>
    <w:rsid w:val="006F4BC0"/>
    <w:rsid w:val="00751A8F"/>
    <w:rsid w:val="007B56F2"/>
    <w:rsid w:val="007F51EE"/>
    <w:rsid w:val="00814F07"/>
    <w:rsid w:val="00816AE4"/>
    <w:rsid w:val="00847D7B"/>
    <w:rsid w:val="0087474B"/>
    <w:rsid w:val="0088652C"/>
    <w:rsid w:val="008E3D21"/>
    <w:rsid w:val="009041A5"/>
    <w:rsid w:val="0091239E"/>
    <w:rsid w:val="00920665"/>
    <w:rsid w:val="0093590F"/>
    <w:rsid w:val="009515E7"/>
    <w:rsid w:val="009538B7"/>
    <w:rsid w:val="00977EA6"/>
    <w:rsid w:val="009A2461"/>
    <w:rsid w:val="009E17B3"/>
    <w:rsid w:val="00A12904"/>
    <w:rsid w:val="00A224C6"/>
    <w:rsid w:val="00A64FC6"/>
    <w:rsid w:val="00A8039E"/>
    <w:rsid w:val="00A87414"/>
    <w:rsid w:val="00A96265"/>
    <w:rsid w:val="00AB3F01"/>
    <w:rsid w:val="00AD42DE"/>
    <w:rsid w:val="00AE09C7"/>
    <w:rsid w:val="00AE68D9"/>
    <w:rsid w:val="00B461F1"/>
    <w:rsid w:val="00B56A3F"/>
    <w:rsid w:val="00BB26D3"/>
    <w:rsid w:val="00BD3DCB"/>
    <w:rsid w:val="00BE11B6"/>
    <w:rsid w:val="00C0506B"/>
    <w:rsid w:val="00C45874"/>
    <w:rsid w:val="00C715C4"/>
    <w:rsid w:val="00C77ED9"/>
    <w:rsid w:val="00C90753"/>
    <w:rsid w:val="00C960F0"/>
    <w:rsid w:val="00CB43F9"/>
    <w:rsid w:val="00CE33E5"/>
    <w:rsid w:val="00D2438E"/>
    <w:rsid w:val="00D63B15"/>
    <w:rsid w:val="00D7000C"/>
    <w:rsid w:val="00D72E20"/>
    <w:rsid w:val="00DD7F0E"/>
    <w:rsid w:val="00DE68D0"/>
    <w:rsid w:val="00E52C0B"/>
    <w:rsid w:val="00E57A37"/>
    <w:rsid w:val="00EA76A0"/>
    <w:rsid w:val="00EC6298"/>
    <w:rsid w:val="00ED0FA1"/>
    <w:rsid w:val="00EE0615"/>
    <w:rsid w:val="00F268E6"/>
    <w:rsid w:val="00F4252C"/>
    <w:rsid w:val="00F72043"/>
    <w:rsid w:val="00FC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BCB5"/>
  <w15:docId w15:val="{E0DE0C4E-0741-4245-98F3-28235168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annotation text"/>
    <w:link w:val="a6"/>
    <w:rPr>
      <w:rFonts w:ascii="Calibri" w:hAnsi="Calibri" w:cs="Arial Unicode MS"/>
      <w:color w:val="000000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outline w:val="0"/>
      <w:color w:val="0563C1"/>
      <w:u w:val="single" w:color="0563C1"/>
    </w:rPr>
  </w:style>
  <w:style w:type="paragraph" w:styleId="a8">
    <w:name w:val="Balloon Text"/>
    <w:basedOn w:val="a"/>
    <w:link w:val="a9"/>
    <w:uiPriority w:val="99"/>
    <w:semiHidden/>
    <w:unhideWhenUsed/>
    <w:rsid w:val="00D63B15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3B15"/>
    <w:rPr>
      <w:color w:val="000000"/>
      <w:sz w:val="18"/>
      <w:szCs w:val="18"/>
      <w:u w:color="000000"/>
    </w:rPr>
  </w:style>
  <w:style w:type="paragraph" w:styleId="aa">
    <w:name w:val="Revision"/>
    <w:hidden/>
    <w:uiPriority w:val="99"/>
    <w:semiHidden/>
    <w:rsid w:val="00D63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4"/>
      <w:szCs w:val="24"/>
      <w:u w:color="000000"/>
    </w:rPr>
  </w:style>
  <w:style w:type="character" w:styleId="ab">
    <w:name w:val="annotation reference"/>
    <w:basedOn w:val="a0"/>
    <w:uiPriority w:val="99"/>
    <w:semiHidden/>
    <w:unhideWhenUsed/>
    <w:rsid w:val="0035067E"/>
    <w:rPr>
      <w:sz w:val="16"/>
      <w:szCs w:val="16"/>
    </w:rPr>
  </w:style>
  <w:style w:type="paragraph" w:styleId="ac">
    <w:name w:val="annotation subject"/>
    <w:basedOn w:val="a5"/>
    <w:next w:val="a5"/>
    <w:link w:val="ad"/>
    <w:uiPriority w:val="99"/>
    <w:semiHidden/>
    <w:unhideWhenUsed/>
    <w:rsid w:val="0035067E"/>
    <w:rPr>
      <w:b/>
      <w:bCs/>
    </w:rPr>
  </w:style>
  <w:style w:type="character" w:customStyle="1" w:styleId="a6">
    <w:name w:val="Текст примечания Знак"/>
    <w:basedOn w:val="a0"/>
    <w:link w:val="a5"/>
    <w:rsid w:val="0035067E"/>
    <w:rPr>
      <w:rFonts w:ascii="Calibri" w:hAnsi="Calibri" w:cs="Arial Unicode MS"/>
      <w:color w:val="000000"/>
      <w:u w:color="000000"/>
    </w:rPr>
  </w:style>
  <w:style w:type="character" w:customStyle="1" w:styleId="ad">
    <w:name w:val="Тема примечания Знак"/>
    <w:basedOn w:val="a6"/>
    <w:link w:val="ac"/>
    <w:uiPriority w:val="99"/>
    <w:semiHidden/>
    <w:rsid w:val="0035067E"/>
    <w:rPr>
      <w:rFonts w:ascii="Calibri" w:hAnsi="Calibri" w:cs="Arial Unicode MS"/>
      <w:b/>
      <w:bCs/>
      <w:color w:val="000000"/>
      <w:u w:color="000000"/>
    </w:rPr>
  </w:style>
  <w:style w:type="character" w:customStyle="1" w:styleId="Ae">
    <w:name w:val="Нет A"/>
    <w:rsid w:val="00F4252C"/>
  </w:style>
  <w:style w:type="character" w:customStyle="1" w:styleId="Hyperlink1">
    <w:name w:val="Hyperlink.1"/>
    <w:basedOn w:val="a7"/>
    <w:rsid w:val="00F4252C"/>
    <w:rPr>
      <w:rFonts w:ascii="Times New Roman" w:eastAsia="Times New Roman" w:hAnsi="Times New Roman" w:cs="Times New Roman"/>
      <w:b/>
      <w:bCs/>
      <w:outline w:val="0"/>
      <w:color w:val="0000FF"/>
      <w:sz w:val="20"/>
      <w:szCs w:val="20"/>
      <w:u w:val="single" w:color="0000FF"/>
    </w:rPr>
  </w:style>
  <w:style w:type="paragraph" w:styleId="af">
    <w:name w:val="List Paragraph"/>
    <w:basedOn w:val="a"/>
    <w:uiPriority w:val="99"/>
    <w:qFormat/>
    <w:rsid w:val="0027486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6" w:lineRule="auto"/>
      <w:ind w:left="720"/>
      <w:contextualSpacing/>
      <w:jc w:val="both"/>
    </w:pPr>
    <w:rPr>
      <w:rFonts w:asciiTheme="minorHAnsi" w:eastAsiaTheme="minorEastAsia" w:hAnsiTheme="minorHAnsi" w:cstheme="minorBidi"/>
      <w:color w:val="auto"/>
      <w:kern w:val="2"/>
      <w:sz w:val="21"/>
      <w:bdr w:val="none" w:sz="0" w:space="0" w:color="auto"/>
      <w:lang w:val="en-US" w:eastAsia="zh-CN"/>
    </w:rPr>
  </w:style>
  <w:style w:type="paragraph" w:styleId="af0">
    <w:name w:val="Normal (Web)"/>
    <w:basedOn w:val="a"/>
    <w:uiPriority w:val="99"/>
    <w:unhideWhenUsed/>
    <w:rsid w:val="00A962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af1">
    <w:name w:val="endnote reference"/>
    <w:basedOn w:val="a0"/>
    <w:uiPriority w:val="99"/>
    <w:semiHidden/>
    <w:unhideWhenUsed/>
    <w:rsid w:val="00A96265"/>
    <w:rPr>
      <w:vertAlign w:val="superscript"/>
    </w:rPr>
  </w:style>
  <w:style w:type="character" w:styleId="af2">
    <w:name w:val="FollowedHyperlink"/>
    <w:basedOn w:val="a0"/>
    <w:uiPriority w:val="99"/>
    <w:semiHidden/>
    <w:unhideWhenUsed/>
    <w:rsid w:val="00A9626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chta.onelink.me/YTri/2ff3e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BBE08-C6A0-4B7A-84F5-B7F6A552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pupsik</dc:creator>
  <cp:lastModifiedBy>Лебедева Ольга Алексеевна</cp:lastModifiedBy>
  <cp:revision>7</cp:revision>
  <dcterms:created xsi:type="dcterms:W3CDTF">2021-06-10T00:15:00Z</dcterms:created>
  <dcterms:modified xsi:type="dcterms:W3CDTF">2021-06-10T00:22:00Z</dcterms:modified>
</cp:coreProperties>
</file>