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15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25.12.2021 г. №57-П</w:t>
      </w:r>
    </w:p>
    <w:p w:rsidR="00D10A15" w:rsidRPr="005A0CAD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0A15" w:rsidRPr="005A0CAD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D10A15" w:rsidRPr="005A0CAD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D10A15" w:rsidRPr="005A0CAD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D10A15" w:rsidRPr="005A0CAD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D10A15" w:rsidRPr="005A0CAD" w:rsidRDefault="00D10A15" w:rsidP="00D10A1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D10A15" w:rsidRPr="00807C7D" w:rsidRDefault="00D10A15" w:rsidP="00D10A15">
      <w:pPr>
        <w:jc w:val="center"/>
        <w:rPr>
          <w:rFonts w:ascii="Arial" w:hAnsi="Arial" w:cs="Arial"/>
          <w:b/>
          <w:sz w:val="32"/>
          <w:szCs w:val="32"/>
        </w:rPr>
      </w:pPr>
    </w:p>
    <w:p w:rsidR="00D10A15" w:rsidRPr="008D6E57" w:rsidRDefault="00D10A15" w:rsidP="00D10A15">
      <w:pPr>
        <w:jc w:val="center"/>
        <w:rPr>
          <w:rFonts w:ascii="Arial" w:hAnsi="Arial" w:cs="Arial"/>
          <w:b/>
          <w:sz w:val="32"/>
          <w:szCs w:val="32"/>
        </w:rPr>
      </w:pPr>
      <w:r w:rsidRPr="008D6E57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</w:t>
      </w:r>
      <w:r>
        <w:rPr>
          <w:rFonts w:ascii="Arial" w:hAnsi="Arial" w:cs="Arial"/>
          <w:b/>
          <w:sz w:val="32"/>
          <w:szCs w:val="32"/>
        </w:rPr>
        <w:t>М</w:t>
      </w:r>
      <w:r w:rsidRPr="008D6E57">
        <w:rPr>
          <w:rFonts w:ascii="Arial" w:hAnsi="Arial" w:cs="Arial"/>
          <w:b/>
          <w:sz w:val="32"/>
          <w:szCs w:val="32"/>
        </w:rPr>
        <w:t xml:space="preserve"> ПО МУНИЦИПАЛЬНОМУ КОНТРОЛЮ</w:t>
      </w:r>
      <w:r>
        <w:rPr>
          <w:rFonts w:ascii="Arial" w:hAnsi="Arial" w:cs="Arial"/>
          <w:b/>
          <w:sz w:val="32"/>
          <w:szCs w:val="32"/>
        </w:rPr>
        <w:t xml:space="preserve"> В СФЕРЕ БЛАГОУСТРОЙСТВА</w:t>
      </w:r>
      <w:r w:rsidRPr="008D6E57">
        <w:rPr>
          <w:rFonts w:ascii="Arial" w:hAnsi="Arial" w:cs="Arial"/>
          <w:b/>
          <w:sz w:val="32"/>
          <w:szCs w:val="32"/>
        </w:rPr>
        <w:t xml:space="preserve"> НА ТЕРРИТОРИИ НИЙСКОГО МУНИЦИПАЛЬНОГО ОБРАЗОВАНИЯ НА 2022 ГОД</w:t>
      </w:r>
    </w:p>
    <w:p w:rsidR="00012B2E" w:rsidRPr="00807C7D" w:rsidRDefault="00012B2E" w:rsidP="00807C7D">
      <w:pPr>
        <w:jc w:val="center"/>
        <w:rPr>
          <w:rFonts w:ascii="Arial" w:hAnsi="Arial" w:cs="Arial"/>
          <w:sz w:val="32"/>
          <w:szCs w:val="32"/>
        </w:rPr>
      </w:pPr>
    </w:p>
    <w:p w:rsidR="00BD6010" w:rsidRPr="00D10A15" w:rsidRDefault="00BD6010" w:rsidP="00BD60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1004D3" w:rsidRPr="00D10A15">
        <w:rPr>
          <w:rFonts w:ascii="Arial" w:hAnsi="Arial" w:cs="Arial"/>
          <w:sz w:val="24"/>
          <w:szCs w:val="24"/>
        </w:rPr>
        <w:t>ом</w:t>
      </w:r>
      <w:r w:rsidRPr="00D10A15">
        <w:rPr>
          <w:rFonts w:ascii="Arial" w:hAnsi="Arial" w:cs="Arial"/>
          <w:sz w:val="24"/>
          <w:szCs w:val="24"/>
        </w:rPr>
        <w:t xml:space="preserve"> </w:t>
      </w:r>
      <w:r w:rsidR="00157643" w:rsidRPr="00D10A15">
        <w:rPr>
          <w:rFonts w:ascii="Arial" w:hAnsi="Arial" w:cs="Arial"/>
          <w:sz w:val="24"/>
          <w:szCs w:val="24"/>
        </w:rPr>
        <w:t>Нийского</w:t>
      </w:r>
      <w:r w:rsidR="002D4A14" w:rsidRPr="00D10A1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10A15">
        <w:rPr>
          <w:rFonts w:ascii="Arial" w:hAnsi="Arial" w:cs="Arial"/>
          <w:sz w:val="24"/>
          <w:szCs w:val="24"/>
        </w:rPr>
        <w:t xml:space="preserve">, </w:t>
      </w:r>
    </w:p>
    <w:p w:rsidR="00BD6010" w:rsidRPr="00D10A15" w:rsidRDefault="00BD6010" w:rsidP="00BD601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D6010" w:rsidRPr="00D10A15" w:rsidRDefault="00BD6010" w:rsidP="00D10A1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D10A15">
        <w:rPr>
          <w:rFonts w:ascii="Arial" w:hAnsi="Arial" w:cs="Arial"/>
          <w:b/>
          <w:color w:val="000000"/>
          <w:sz w:val="24"/>
          <w:szCs w:val="24"/>
        </w:rPr>
        <w:t>ЕТ</w:t>
      </w:r>
      <w:r w:rsidRPr="00D10A1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D6010" w:rsidRPr="00D10A15" w:rsidRDefault="00BD6010" w:rsidP="00BD601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F2813" w:rsidRPr="00D10A15" w:rsidRDefault="00BD6010" w:rsidP="00EF28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1004D3" w:rsidRPr="00D10A15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D10A15">
        <w:rPr>
          <w:rFonts w:ascii="Arial" w:hAnsi="Arial" w:cs="Arial"/>
          <w:sz w:val="24"/>
          <w:szCs w:val="24"/>
        </w:rPr>
        <w:t xml:space="preserve">на территории </w:t>
      </w:r>
      <w:r w:rsidR="00157643" w:rsidRPr="00D10A15">
        <w:rPr>
          <w:rFonts w:ascii="Arial" w:hAnsi="Arial" w:cs="Arial"/>
          <w:sz w:val="24"/>
          <w:szCs w:val="24"/>
        </w:rPr>
        <w:t>Нийского</w:t>
      </w:r>
      <w:r w:rsidRPr="00D10A15">
        <w:rPr>
          <w:rFonts w:ascii="Arial" w:hAnsi="Arial" w:cs="Arial"/>
          <w:sz w:val="24"/>
          <w:szCs w:val="24"/>
        </w:rPr>
        <w:t xml:space="preserve"> муниципального образования на 2022 год согласно приложению к настоящему постановлению.</w:t>
      </w:r>
    </w:p>
    <w:p w:rsidR="00EF2813" w:rsidRPr="00D10A15" w:rsidRDefault="00BD6010" w:rsidP="00EF28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 xml:space="preserve">2. Настоящее постановление обнародовать на официальном сайте Администрации </w:t>
      </w:r>
      <w:r w:rsidR="00157643" w:rsidRPr="00D10A15">
        <w:rPr>
          <w:rFonts w:ascii="Arial" w:hAnsi="Arial" w:cs="Arial"/>
          <w:sz w:val="24"/>
          <w:szCs w:val="24"/>
        </w:rPr>
        <w:t>Нийского</w:t>
      </w:r>
      <w:r w:rsidR="002D4A14" w:rsidRPr="00D10A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0A15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 (</w:t>
      </w:r>
      <w:hyperlink r:id="rId8" w:history="1">
        <w:r w:rsidR="00D10A15" w:rsidRPr="00D10A15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Pr="00D10A15">
        <w:rPr>
          <w:rFonts w:ascii="Arial" w:hAnsi="Arial" w:cs="Arial"/>
          <w:sz w:val="24"/>
          <w:szCs w:val="24"/>
        </w:rPr>
        <w:t>).</w:t>
      </w:r>
    </w:p>
    <w:p w:rsidR="002D4A14" w:rsidRPr="00D10A15" w:rsidRDefault="002D4A14" w:rsidP="00EF281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2D4A14" w:rsidRPr="00D10A15" w:rsidRDefault="002D4A14" w:rsidP="002D4A14">
      <w:pPr>
        <w:rPr>
          <w:rFonts w:ascii="Arial" w:hAnsi="Arial" w:cs="Arial"/>
          <w:sz w:val="24"/>
          <w:szCs w:val="24"/>
        </w:rPr>
      </w:pPr>
    </w:p>
    <w:p w:rsidR="002D4A14" w:rsidRPr="00D10A15" w:rsidRDefault="002D4A14" w:rsidP="002D4A14">
      <w:pPr>
        <w:rPr>
          <w:rFonts w:ascii="Arial" w:hAnsi="Arial" w:cs="Arial"/>
          <w:sz w:val="24"/>
          <w:szCs w:val="24"/>
        </w:rPr>
      </w:pPr>
    </w:p>
    <w:p w:rsidR="002D4A14" w:rsidRPr="00D10A15" w:rsidRDefault="002D4A14" w:rsidP="002D4A14">
      <w:pPr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 xml:space="preserve">Глава </w:t>
      </w:r>
      <w:r w:rsidR="00157643" w:rsidRPr="00D10A15">
        <w:rPr>
          <w:rFonts w:ascii="Arial" w:hAnsi="Arial" w:cs="Arial"/>
          <w:sz w:val="24"/>
          <w:szCs w:val="24"/>
        </w:rPr>
        <w:t>Нийского</w:t>
      </w:r>
    </w:p>
    <w:p w:rsidR="00807C7D" w:rsidRDefault="002D4A14" w:rsidP="002D4A14">
      <w:pPr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>муници</w:t>
      </w:r>
      <w:r w:rsidR="00807C7D">
        <w:rPr>
          <w:rFonts w:ascii="Arial" w:hAnsi="Arial" w:cs="Arial"/>
          <w:sz w:val="24"/>
          <w:szCs w:val="24"/>
        </w:rPr>
        <w:t>пального образования</w:t>
      </w:r>
    </w:p>
    <w:p w:rsidR="002D4A14" w:rsidRPr="00D10A15" w:rsidRDefault="00157643" w:rsidP="002D4A14">
      <w:pPr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>О</w:t>
      </w:r>
      <w:r w:rsidR="002D4A14" w:rsidRPr="00D10A15">
        <w:rPr>
          <w:rFonts w:ascii="Arial" w:hAnsi="Arial" w:cs="Arial"/>
          <w:sz w:val="24"/>
          <w:szCs w:val="24"/>
        </w:rPr>
        <w:t>.</w:t>
      </w:r>
      <w:r w:rsidRPr="00D10A15">
        <w:rPr>
          <w:rFonts w:ascii="Arial" w:hAnsi="Arial" w:cs="Arial"/>
          <w:sz w:val="24"/>
          <w:szCs w:val="24"/>
        </w:rPr>
        <w:t>Е</w:t>
      </w:r>
      <w:r w:rsidR="002D4A14" w:rsidRPr="00D10A15">
        <w:rPr>
          <w:rFonts w:ascii="Arial" w:hAnsi="Arial" w:cs="Arial"/>
          <w:sz w:val="24"/>
          <w:szCs w:val="24"/>
        </w:rPr>
        <w:t xml:space="preserve">. </w:t>
      </w:r>
      <w:r w:rsidRPr="00D10A15">
        <w:rPr>
          <w:rFonts w:ascii="Arial" w:hAnsi="Arial" w:cs="Arial"/>
          <w:sz w:val="24"/>
          <w:szCs w:val="24"/>
        </w:rPr>
        <w:t>Рубцов</w:t>
      </w:r>
    </w:p>
    <w:p w:rsidR="00807C7D" w:rsidRDefault="00807C7D" w:rsidP="00807C7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10A15" w:rsidRPr="005A0CAD" w:rsidRDefault="00D10A15" w:rsidP="00807C7D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Приложение №1</w:t>
      </w:r>
    </w:p>
    <w:p w:rsidR="00D10A15" w:rsidRPr="005A0CAD" w:rsidRDefault="00D10A15" w:rsidP="00D10A1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D10A15" w:rsidRPr="005A0CAD" w:rsidRDefault="00D10A15" w:rsidP="00D10A1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D10A15" w:rsidRPr="005A0CAD" w:rsidRDefault="00807C7D" w:rsidP="00D10A15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D10A15">
        <w:rPr>
          <w:rFonts w:ascii="Courier New" w:hAnsi="Courier New" w:cs="Courier New"/>
          <w:bCs/>
        </w:rPr>
        <w:t>25</w:t>
      </w:r>
      <w:r>
        <w:rPr>
          <w:rFonts w:ascii="Courier New" w:hAnsi="Courier New" w:cs="Courier New"/>
          <w:bCs/>
        </w:rPr>
        <w:t>.</w:t>
      </w:r>
      <w:r w:rsidR="00D10A15" w:rsidRPr="005A0CAD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12.</w:t>
      </w:r>
      <w:r w:rsidR="00D10A15" w:rsidRPr="005A0CAD">
        <w:rPr>
          <w:rFonts w:ascii="Courier New" w:hAnsi="Courier New" w:cs="Courier New"/>
          <w:bCs/>
        </w:rPr>
        <w:t xml:space="preserve"> 2021 г. № </w:t>
      </w:r>
      <w:r w:rsidR="00D10A15">
        <w:rPr>
          <w:rFonts w:ascii="Courier New" w:hAnsi="Courier New" w:cs="Courier New"/>
          <w:bCs/>
        </w:rPr>
        <w:t>57</w:t>
      </w:r>
      <w:r w:rsidR="00D10A15" w:rsidRPr="005A0CAD">
        <w:rPr>
          <w:rFonts w:ascii="Courier New" w:hAnsi="Courier New" w:cs="Courier New"/>
          <w:bCs/>
        </w:rPr>
        <w:t>-П</w:t>
      </w:r>
    </w:p>
    <w:p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6F1D30" w:rsidRPr="00D10A15" w:rsidRDefault="006F1D30" w:rsidP="001004D3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D10A15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004D3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в сфере благоустройства </w:t>
      </w:r>
      <w:r w:rsidR="00192F47" w:rsidRPr="00D10A15">
        <w:rPr>
          <w:rFonts w:ascii="Arial" w:hAnsi="Arial" w:cs="Arial"/>
          <w:b/>
          <w:color w:val="000000" w:themeColor="text1"/>
          <w:sz w:val="30"/>
          <w:szCs w:val="30"/>
        </w:rPr>
        <w:t>на</w:t>
      </w:r>
      <w:r w:rsidR="00494E61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192F47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территории </w:t>
      </w:r>
      <w:r w:rsidR="00157643" w:rsidRPr="00D10A15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1E46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1004D3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D10A15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2022 год</w:t>
      </w:r>
    </w:p>
    <w:p w:rsidR="006F1D30" w:rsidRPr="00D10A15" w:rsidRDefault="006F1D30" w:rsidP="00302AAE">
      <w:pPr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:rsidR="006F1D30" w:rsidRPr="00D10A15" w:rsidRDefault="007419A5" w:rsidP="003351B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10A1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1. </w:t>
      </w:r>
      <w:r w:rsidR="00302AAE" w:rsidRPr="00D10A1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D10A1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D10A1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D10A1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92F47" w:rsidRPr="00D10A15">
        <w:rPr>
          <w:rFonts w:ascii="Arial" w:hAnsi="Arial" w:cs="Arial"/>
          <w:b/>
          <w:color w:val="000000" w:themeColor="text1"/>
          <w:sz w:val="30"/>
          <w:szCs w:val="30"/>
        </w:rPr>
        <w:t>муниципальному контролю</w:t>
      </w:r>
      <w:r w:rsidR="001004D3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в сфере благоустройства</w:t>
      </w:r>
      <w:r w:rsidR="00192F47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на территории </w:t>
      </w:r>
      <w:r w:rsidR="00157643" w:rsidRPr="00D10A15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494E61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0B1E46" w:rsidRPr="00D10A15">
        <w:rPr>
          <w:rFonts w:ascii="Arial" w:hAnsi="Arial" w:cs="Arial"/>
          <w:b/>
          <w:color w:val="000000" w:themeColor="text1"/>
          <w:sz w:val="30"/>
          <w:szCs w:val="30"/>
        </w:rPr>
        <w:t>муниципального образования</w:t>
      </w:r>
      <w:r w:rsidR="003351BE" w:rsidRPr="00D10A15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A8544B" w:rsidRPr="00D10A15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2022 год</w:t>
      </w:r>
    </w:p>
    <w:p w:rsidR="007419A5" w:rsidRPr="00807C7D" w:rsidRDefault="007419A5" w:rsidP="00807C7D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C0E5E" w:rsidRPr="00D10A15" w:rsidRDefault="007419A5" w:rsidP="006C0E5E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35B2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1004D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сфере благоустройства</w:t>
      </w:r>
      <w:r w:rsidR="00735B2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деятельность, направленная</w:t>
      </w:r>
      <w:r w:rsidR="00F118C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0F5B2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установленных Правилами благоустройства территории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F5B2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7E008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утвержденными решением Думы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7E008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от 26.10.2017 №</w:t>
      </w:r>
      <w:r w:rsidR="00D10A1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331</w:t>
      </w:r>
      <w:r w:rsidR="00735B2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</w:t>
      </w:r>
      <w:r w:rsidR="007E008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902528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E008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Правила благоустройства</w:t>
      </w:r>
      <w:r w:rsidR="00735B2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51AED" w:rsidRPr="00D10A15" w:rsidRDefault="009036E2" w:rsidP="00251AE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B6170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94E61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94E61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D10A15" w:rsidRDefault="00C33AAE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D8045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Муниципальный контроль</w:t>
      </w:r>
      <w:r w:rsidR="00B6170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D8045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21099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B726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="00D8045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D10A15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B6170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6DEB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на 2022 год 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2330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BB78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32884" w:rsidRPr="00D10A15" w:rsidRDefault="00BB7832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 связи с вступлением в законную силу </w:t>
      </w:r>
      <w:r w:rsidR="00A85A49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B6170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благоустройства</w:t>
      </w:r>
      <w:r w:rsidR="00CC28A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E50C3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5400D8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C80C9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50C3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C80C9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5764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5400D8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98376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10A1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98376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D10A1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431</w:t>
      </w:r>
      <w:r w:rsidR="005226A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532884" w:rsidRPr="00D10A15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73603F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соблюдения правил</w:t>
      </w:r>
      <w:r w:rsidR="00B6170A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благоустройства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выявил, что ключевыми и наиболее значимыми рисками являются</w:t>
      </w:r>
      <w:r w:rsidR="00B1656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</w:t>
      </w:r>
      <w:r w:rsidR="0092104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53288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требований,</w:t>
      </w:r>
      <w:r w:rsidR="00921045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предусмотренные Правилами благоустройства</w:t>
      </w:r>
      <w:r w:rsidR="0053288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32884" w:rsidRPr="00D10A15" w:rsidRDefault="00532884" w:rsidP="00532884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32884" w:rsidRPr="00D10A15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D10A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32884" w:rsidRPr="00D10A15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D10A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32884" w:rsidRPr="00D10A15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D10A15">
        <w:rPr>
          <w:rFonts w:ascii="Arial" w:hAnsi="Arial" w:cs="Arial"/>
          <w:sz w:val="24"/>
          <w:szCs w:val="24"/>
        </w:rPr>
        <w:t>Иркутской области</w:t>
      </w:r>
      <w:r w:rsidRPr="00D10A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0A15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532884" w:rsidRPr="00D10A15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32884" w:rsidRPr="00D10A15" w:rsidRDefault="00532884" w:rsidP="0053288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A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D10A15">
        <w:rPr>
          <w:rFonts w:ascii="Arial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="00157643" w:rsidRPr="00D10A15">
        <w:rPr>
          <w:rFonts w:ascii="Arial" w:hAnsi="Arial" w:cs="Arial"/>
          <w:color w:val="000000"/>
          <w:sz w:val="24"/>
          <w:szCs w:val="24"/>
        </w:rPr>
        <w:t>Нийского</w:t>
      </w:r>
      <w:r w:rsidRPr="00D10A1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="00157643" w:rsidRPr="00D10A15">
        <w:rPr>
          <w:rFonts w:ascii="Arial" w:hAnsi="Arial" w:cs="Arial"/>
          <w:color w:val="000000"/>
          <w:sz w:val="24"/>
          <w:szCs w:val="24"/>
        </w:rPr>
        <w:t>Нийского</w:t>
      </w:r>
      <w:r w:rsidRPr="00D10A1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летний период, включая обязательные требования по </w:t>
      </w:r>
      <w:r w:rsidRPr="00D10A15">
        <w:rPr>
          <w:rFonts w:ascii="Arial" w:hAnsi="Arial" w:cs="Arial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D10A15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D10A1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D10A15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D10A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D10A15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D10A15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D10A15">
        <w:rPr>
          <w:rFonts w:ascii="Arial" w:hAnsi="Arial" w:cs="Arial"/>
          <w:color w:val="000000"/>
          <w:sz w:val="24"/>
          <w:szCs w:val="24"/>
        </w:rPr>
        <w:t>;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насаждений;</w:t>
      </w:r>
    </w:p>
    <w:p w:rsidR="00532884" w:rsidRPr="00D10A15" w:rsidRDefault="00532884" w:rsidP="0053288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0A15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8) </w:t>
      </w:r>
      <w:r w:rsidRPr="00D10A15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D10A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0A15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4B726A" w:rsidRPr="00D10A15" w:rsidRDefault="00532884" w:rsidP="004B726A">
      <w:pPr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D10A15">
        <w:rPr>
          <w:rFonts w:ascii="Arial" w:hAnsi="Arial" w:cs="Arial"/>
          <w:bCs/>
          <w:color w:val="000000"/>
          <w:sz w:val="24"/>
          <w:szCs w:val="24"/>
        </w:rPr>
        <w:t xml:space="preserve"> выгулу животных</w:t>
      </w:r>
      <w:r w:rsidRPr="00D10A15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D10A15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32A95" w:rsidRPr="00D10A15" w:rsidRDefault="008E141B" w:rsidP="004B726A">
      <w:pPr>
        <w:tabs>
          <w:tab w:val="left" w:pos="1200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3F62ED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 благоустройства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D10A15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D10A15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D10A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D10A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D10A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D10A15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D10A15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D10A15" w:rsidRDefault="006F1261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D10A15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D10A15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D10A15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D10A15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D10A15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D10A15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D10A15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D10A15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D10A15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D10A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D10A15" w:rsidRDefault="0097111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D10A15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D10A15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41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760"/>
        <w:gridCol w:w="1986"/>
        <w:gridCol w:w="3184"/>
      </w:tblGrid>
      <w:tr w:rsidR="00D44F9E" w:rsidRPr="00807C7D" w:rsidTr="00807C7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CC3F2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807C7D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807C7D" w:rsidTr="00807C7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t xml:space="preserve">Информирование контролируемых и иных лиц заинтересованных лиц по вопросам соблюдения </w:t>
            </w: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07C7D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807C7D" w:rsidRDefault="00C80C95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807C7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57643" w:rsidRPr="00807C7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807C7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807C7D" w:rsidTr="00807C7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807C7D" w:rsidRDefault="00EF2813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2</w:t>
            </w:r>
            <w:r w:rsidR="0080471B" w:rsidRPr="00807C7D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807C7D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807C7D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807C7D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807C7D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807C7D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807C7D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807C7D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807C7D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807C7D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Pr="00807C7D" w:rsidRDefault="005F4655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9" w:history="1">
              <w:r w:rsidRPr="00807C7D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807C7D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F82ED6" w:rsidRPr="00807C7D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807C7D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807C7D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807C7D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807C7D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807C7D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807C7D">
              <w:rPr>
                <w:rFonts w:ascii="Courier New" w:hAnsi="Courier New" w:cs="Courier New"/>
                <w:color w:val="000000" w:themeColor="text1"/>
              </w:rPr>
              <w:lastRenderedPageBreak/>
              <w:t>Администрации</w:t>
            </w:r>
            <w:r w:rsidR="00E82100"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157643" w:rsidRPr="00807C7D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E82100" w:rsidRPr="00807C7D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1F4A9B" w:rsidRPr="00807C7D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F82ED6" w:rsidRPr="00807C7D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157643" w:rsidRPr="00807C7D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E82100" w:rsidRPr="00807C7D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="001F4A9B"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807C7D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F82ED6" w:rsidRPr="00807C7D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807C7D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807C7D" w:rsidRDefault="00E82100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807C7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57643" w:rsidRPr="00807C7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807C7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D10A15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5AE0" w:rsidRPr="00D10A15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10A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D10A15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5"/>
        <w:gridCol w:w="2835"/>
      </w:tblGrid>
      <w:tr w:rsidR="00D44F9E" w:rsidRPr="00807C7D" w:rsidTr="00807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807C7D" w:rsidTr="00807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807C7D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807C7D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157643" w:rsidRPr="00807C7D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B44889" w:rsidRPr="00807C7D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</w:p>
          <w:p w:rsidR="00071BDB" w:rsidRPr="00807C7D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807C7D" w:rsidTr="00807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807C7D" w:rsidTr="00807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07C7D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07C7D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807C7D">
              <w:rPr>
                <w:rFonts w:ascii="Courier New" w:hAnsi="Courier New" w:cs="Courier New"/>
                <w:color w:val="000000" w:themeColor="text1"/>
              </w:rPr>
              <w:t>я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807C7D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807C7D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807C7D">
              <w:rPr>
                <w:rFonts w:ascii="Courier New" w:hAnsi="Courier New" w:cs="Courier New"/>
                <w:color w:val="000000" w:themeColor="text1"/>
              </w:rPr>
              <w:t>земельного</w:t>
            </w:r>
            <w:r w:rsidR="00A146C1" w:rsidRPr="00807C7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807C7D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6565DB" w:rsidRPr="00D10A15" w:rsidRDefault="006565DB" w:rsidP="006565DB">
      <w:pPr>
        <w:rPr>
          <w:rFonts w:ascii="Arial" w:hAnsi="Arial" w:cs="Arial"/>
          <w:sz w:val="24"/>
          <w:szCs w:val="24"/>
        </w:rPr>
      </w:pPr>
    </w:p>
    <w:p w:rsidR="006565DB" w:rsidRPr="00D10A15" w:rsidRDefault="006565DB" w:rsidP="006565DB">
      <w:pPr>
        <w:rPr>
          <w:rFonts w:ascii="Arial" w:hAnsi="Arial" w:cs="Arial"/>
          <w:sz w:val="24"/>
          <w:szCs w:val="24"/>
        </w:rPr>
      </w:pPr>
    </w:p>
    <w:p w:rsidR="006565DB" w:rsidRPr="00D10A15" w:rsidRDefault="006565DB" w:rsidP="006565DB">
      <w:pPr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 xml:space="preserve">Глава </w:t>
      </w:r>
      <w:r w:rsidR="00157643" w:rsidRPr="00D10A15">
        <w:rPr>
          <w:rFonts w:ascii="Arial" w:hAnsi="Arial" w:cs="Arial"/>
          <w:sz w:val="24"/>
          <w:szCs w:val="24"/>
        </w:rPr>
        <w:t>Нийского</w:t>
      </w:r>
    </w:p>
    <w:p w:rsidR="00807C7D" w:rsidRDefault="006565DB" w:rsidP="006565DB">
      <w:pPr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>муници</w:t>
      </w:r>
      <w:r w:rsidR="00807C7D">
        <w:rPr>
          <w:rFonts w:ascii="Arial" w:hAnsi="Arial" w:cs="Arial"/>
          <w:sz w:val="24"/>
          <w:szCs w:val="24"/>
        </w:rPr>
        <w:t>пального образования</w:t>
      </w:r>
    </w:p>
    <w:p w:rsidR="00C22721" w:rsidRPr="00807C7D" w:rsidRDefault="00157643" w:rsidP="00807C7D">
      <w:pPr>
        <w:rPr>
          <w:rFonts w:ascii="Arial" w:hAnsi="Arial" w:cs="Arial"/>
          <w:sz w:val="24"/>
          <w:szCs w:val="24"/>
        </w:rPr>
      </w:pPr>
      <w:r w:rsidRPr="00D10A15">
        <w:rPr>
          <w:rFonts w:ascii="Arial" w:hAnsi="Arial" w:cs="Arial"/>
          <w:sz w:val="24"/>
          <w:szCs w:val="24"/>
        </w:rPr>
        <w:t>О</w:t>
      </w:r>
      <w:r w:rsidR="006565DB" w:rsidRPr="00D10A15">
        <w:rPr>
          <w:rFonts w:ascii="Arial" w:hAnsi="Arial" w:cs="Arial"/>
          <w:sz w:val="24"/>
          <w:szCs w:val="24"/>
        </w:rPr>
        <w:t>.</w:t>
      </w:r>
      <w:r w:rsidRPr="00D10A15">
        <w:rPr>
          <w:rFonts w:ascii="Arial" w:hAnsi="Arial" w:cs="Arial"/>
          <w:sz w:val="24"/>
          <w:szCs w:val="24"/>
        </w:rPr>
        <w:t>Е</w:t>
      </w:r>
      <w:r w:rsidR="006565DB" w:rsidRPr="00D10A15">
        <w:rPr>
          <w:rFonts w:ascii="Arial" w:hAnsi="Arial" w:cs="Arial"/>
          <w:sz w:val="24"/>
          <w:szCs w:val="24"/>
        </w:rPr>
        <w:t xml:space="preserve">. </w:t>
      </w:r>
      <w:r w:rsidRPr="00D10A15">
        <w:rPr>
          <w:rFonts w:ascii="Arial" w:hAnsi="Arial" w:cs="Arial"/>
          <w:sz w:val="24"/>
          <w:szCs w:val="24"/>
        </w:rPr>
        <w:t>Рубцов</w:t>
      </w:r>
    </w:p>
    <w:sectPr w:rsidR="00C22721" w:rsidRPr="00807C7D" w:rsidSect="00807C7D">
      <w:headerReference w:type="even" r:id="rId10"/>
      <w:headerReference w:type="default" r:id="rId11"/>
      <w:footerReference w:type="first" r:id="rId12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E0" w:rsidRDefault="007879E0">
      <w:r>
        <w:separator/>
      </w:r>
    </w:p>
  </w:endnote>
  <w:endnote w:type="continuationSeparator" w:id="0">
    <w:p w:rsidR="007879E0" w:rsidRDefault="00787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E0" w:rsidRDefault="007879E0">
      <w:r>
        <w:separator/>
      </w:r>
    </w:p>
  </w:footnote>
  <w:footnote w:type="continuationSeparator" w:id="0">
    <w:p w:rsidR="007879E0" w:rsidRDefault="00787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D3160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07C2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5B27"/>
    <w:rsid w:val="000F6266"/>
    <w:rsid w:val="001004D3"/>
    <w:rsid w:val="0010770A"/>
    <w:rsid w:val="00114166"/>
    <w:rsid w:val="00116B1A"/>
    <w:rsid w:val="00123AA3"/>
    <w:rsid w:val="00132A95"/>
    <w:rsid w:val="001352C9"/>
    <w:rsid w:val="00147149"/>
    <w:rsid w:val="00147228"/>
    <w:rsid w:val="00157643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1099C"/>
    <w:rsid w:val="0023144C"/>
    <w:rsid w:val="00235B41"/>
    <w:rsid w:val="00241CE0"/>
    <w:rsid w:val="00244D2E"/>
    <w:rsid w:val="00246B4F"/>
    <w:rsid w:val="00251AED"/>
    <w:rsid w:val="002536FF"/>
    <w:rsid w:val="002553B8"/>
    <w:rsid w:val="00265DB4"/>
    <w:rsid w:val="00267FE7"/>
    <w:rsid w:val="002803A8"/>
    <w:rsid w:val="00285FD0"/>
    <w:rsid w:val="002A212C"/>
    <w:rsid w:val="002A3189"/>
    <w:rsid w:val="002C6F87"/>
    <w:rsid w:val="002D4A14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E454D"/>
    <w:rsid w:val="003F62ED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B726A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2884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0E5E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03F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9E0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008C"/>
    <w:rsid w:val="007E2990"/>
    <w:rsid w:val="007E29DF"/>
    <w:rsid w:val="007E6329"/>
    <w:rsid w:val="007F2288"/>
    <w:rsid w:val="0080471B"/>
    <w:rsid w:val="00807C7D"/>
    <w:rsid w:val="00810329"/>
    <w:rsid w:val="00810371"/>
    <w:rsid w:val="00812482"/>
    <w:rsid w:val="00816DAA"/>
    <w:rsid w:val="00816F7A"/>
    <w:rsid w:val="00817B91"/>
    <w:rsid w:val="008242BD"/>
    <w:rsid w:val="0082431E"/>
    <w:rsid w:val="00825C1A"/>
    <w:rsid w:val="0083060A"/>
    <w:rsid w:val="00842C98"/>
    <w:rsid w:val="00851610"/>
    <w:rsid w:val="00854773"/>
    <w:rsid w:val="0085522E"/>
    <w:rsid w:val="008559FC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045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23307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521CB"/>
    <w:rsid w:val="00B6170A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C95"/>
    <w:rsid w:val="00C82461"/>
    <w:rsid w:val="00C850E2"/>
    <w:rsid w:val="00C90A04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0A15"/>
    <w:rsid w:val="00D116A9"/>
    <w:rsid w:val="00D11E6A"/>
    <w:rsid w:val="00D1355D"/>
    <w:rsid w:val="00D30DF7"/>
    <w:rsid w:val="00D3160F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2813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803A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03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803A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803A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03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0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803A8"/>
    <w:pPr>
      <w:ind w:left="720"/>
      <w:contextualSpacing/>
    </w:pPr>
  </w:style>
  <w:style w:type="character" w:styleId="a6">
    <w:name w:val="Hyperlink"/>
    <w:uiPriority w:val="99"/>
    <w:unhideWhenUsed/>
    <w:rsid w:val="002803A8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2803A8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2803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80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03A8"/>
  </w:style>
  <w:style w:type="paragraph" w:customStyle="1" w:styleId="ab">
    <w:name w:val="Знак"/>
    <w:basedOn w:val="a"/>
    <w:rsid w:val="002803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2803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803A8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28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803A8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2803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2803A8"/>
  </w:style>
  <w:style w:type="paragraph" w:customStyle="1" w:styleId="11">
    <w:name w:val="Без интервала1"/>
    <w:rsid w:val="002803A8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2803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2803A8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2803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03A8"/>
  </w:style>
  <w:style w:type="paragraph" w:customStyle="1" w:styleId="ConsNormal">
    <w:name w:val="ConsNormal"/>
    <w:rsid w:val="002803A8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2803A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  <w:style w:type="character" w:customStyle="1" w:styleId="af5">
    <w:name w:val="Без интервала Знак"/>
    <w:basedOn w:val="a0"/>
    <w:link w:val="af4"/>
    <w:uiPriority w:val="1"/>
    <w:locked/>
    <w:rsid w:val="00D10A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EE68-0BBC-4F90-A7BC-8058AE3B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30</cp:revision>
  <cp:lastPrinted>2022-02-10T12:20:00Z</cp:lastPrinted>
  <dcterms:created xsi:type="dcterms:W3CDTF">2021-12-07T06:48:00Z</dcterms:created>
  <dcterms:modified xsi:type="dcterms:W3CDTF">2022-02-10T12:20:00Z</dcterms:modified>
</cp:coreProperties>
</file>